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D53AE" w14:textId="441EB88D" w:rsidR="0073295E" w:rsidRDefault="4FBED740" w:rsidP="4FBED740">
      <w:pPr>
        <w:pStyle w:val="Rubrik1"/>
        <w:spacing w:after="70" w:line="251" w:lineRule="auto"/>
        <w:rPr>
          <w:sz w:val="24"/>
          <w:szCs w:val="24"/>
        </w:rPr>
      </w:pPr>
      <w:r>
        <w:rPr>
          <w:sz w:val="24"/>
        </w:rPr>
        <w:t>STATSRÅDETS KANSLI</w:t>
      </w:r>
    </w:p>
    <w:p w14:paraId="64FABA49" w14:textId="77777777" w:rsidR="001D6875" w:rsidRDefault="4FBED740">
      <w:r>
        <w:t xml:space="preserve">Europainformation </w:t>
      </w:r>
    </w:p>
    <w:p w14:paraId="29D6B04F" w14:textId="77777777" w:rsidR="001D6875" w:rsidRDefault="4B3332C4">
      <w:pPr>
        <w:spacing w:after="57" w:line="259" w:lineRule="auto"/>
        <w:ind w:left="340" w:firstLine="0"/>
      </w:pPr>
      <w:r>
        <w:t xml:space="preserve"> </w:t>
      </w:r>
    </w:p>
    <w:p w14:paraId="371B57D1" w14:textId="2AF0C18B" w:rsidR="4B3332C4" w:rsidRDefault="4B3332C4" w:rsidP="4B3332C4">
      <w:pPr>
        <w:spacing w:after="0" w:line="259" w:lineRule="auto"/>
        <w:ind w:left="0" w:firstLine="0"/>
        <w:rPr>
          <w:b/>
          <w:bCs/>
          <w:color w:val="003773"/>
        </w:rPr>
      </w:pPr>
    </w:p>
    <w:p w14:paraId="18BCD6FA" w14:textId="77777777" w:rsidR="001D6875" w:rsidRDefault="00F136BD" w:rsidP="4B3332C4">
      <w:pPr>
        <w:tabs>
          <w:tab w:val="center" w:pos="1105"/>
          <w:tab w:val="center" w:pos="2500"/>
          <w:tab w:val="center" w:pos="3220"/>
          <w:tab w:val="center" w:pos="3940"/>
          <w:tab w:val="center" w:pos="4660"/>
          <w:tab w:val="center" w:pos="5380"/>
          <w:tab w:val="center" w:pos="6100"/>
          <w:tab w:val="center" w:pos="6820"/>
          <w:tab w:val="center" w:pos="8447"/>
        </w:tabs>
        <w:spacing w:after="0" w:line="259" w:lineRule="auto"/>
        <w:ind w:left="0" w:firstLine="340"/>
      </w:pPr>
      <w:r>
        <w:rPr>
          <w:b/>
          <w:color w:val="003773"/>
        </w:rPr>
        <w:t>ALLMÄNNA VILLKOR</w:t>
      </w:r>
      <w:r>
        <w:rPr>
          <w:b/>
          <w:color w:val="003773"/>
        </w:rPr>
        <w:tab/>
      </w:r>
      <w:r>
        <w:rPr>
          <w:b/>
          <w:color w:val="003773"/>
        </w:rPr>
        <w:tab/>
      </w:r>
      <w:r>
        <w:rPr>
          <w:b/>
          <w:color w:val="003773"/>
        </w:rPr>
        <w:tab/>
      </w:r>
      <w:r>
        <w:rPr>
          <w:b/>
          <w:color w:val="003773"/>
        </w:rPr>
        <w:tab/>
      </w:r>
      <w:r>
        <w:rPr>
          <w:b/>
          <w:color w:val="003773"/>
        </w:rPr>
        <w:tab/>
      </w:r>
      <w:r>
        <w:rPr>
          <w:b/>
          <w:color w:val="003773"/>
        </w:rPr>
        <w:tab/>
      </w:r>
      <w:r>
        <w:rPr>
          <w:b/>
          <w:color w:val="003773"/>
        </w:rPr>
        <w:tab/>
      </w:r>
    </w:p>
    <w:p w14:paraId="7CBDFCF0" w14:textId="77777777" w:rsidR="001D6875" w:rsidRDefault="4FBED740" w:rsidP="4B3332C4">
      <w:pPr>
        <w:tabs>
          <w:tab w:val="center" w:pos="1105"/>
          <w:tab w:val="center" w:pos="2500"/>
          <w:tab w:val="center" w:pos="3220"/>
          <w:tab w:val="center" w:pos="3940"/>
          <w:tab w:val="center" w:pos="4660"/>
          <w:tab w:val="center" w:pos="5380"/>
          <w:tab w:val="center" w:pos="6100"/>
          <w:tab w:val="center" w:pos="6820"/>
          <w:tab w:val="center" w:pos="8447"/>
        </w:tabs>
        <w:spacing w:after="0" w:line="259" w:lineRule="auto"/>
        <w:ind w:left="0" w:firstLine="340"/>
      </w:pPr>
      <w:r>
        <w:rPr>
          <w:b/>
          <w:color w:val="003773"/>
        </w:rPr>
        <w:t>November 2023</w:t>
      </w:r>
    </w:p>
    <w:p w14:paraId="0A6959E7" w14:textId="77777777" w:rsidR="001D6875" w:rsidRDefault="00F136BD">
      <w:pPr>
        <w:spacing w:after="0" w:line="259" w:lineRule="auto"/>
        <w:ind w:left="340" w:firstLine="0"/>
      </w:pPr>
      <w:r>
        <w:rPr>
          <w:b/>
          <w:color w:val="003773"/>
        </w:rPr>
        <w:t xml:space="preserve"> </w:t>
      </w:r>
    </w:p>
    <w:p w14:paraId="53B47869" w14:textId="7B41AFCC" w:rsidR="001D6875" w:rsidRDefault="4FBED740" w:rsidP="4B3332C4">
      <w:pPr>
        <w:spacing w:after="369" w:line="259" w:lineRule="auto"/>
        <w:ind w:left="310" w:right="-47" w:firstLine="0"/>
      </w:pPr>
      <w:r>
        <w:t>Statsunderstöd för civilsamhällesorganisationers Europainformation 2024</w:t>
      </w:r>
    </w:p>
    <w:p w14:paraId="0C2D92B1" w14:textId="77777777" w:rsidR="001D6875" w:rsidRDefault="4FBED740">
      <w:pPr>
        <w:pStyle w:val="Rubrik1"/>
        <w:ind w:left="335"/>
      </w:pPr>
      <w:r>
        <w:t>Allmänt</w:t>
      </w:r>
    </w:p>
    <w:p w14:paraId="5BD3EA40" w14:textId="77777777" w:rsidR="001D6875" w:rsidRDefault="4FBED740">
      <w:pPr>
        <w:ind w:left="1049"/>
      </w:pPr>
      <w:r>
        <w:t>Statsunderstödet är avsett för organisationens egen verksamhet som syftar till att öka den allmänna kunskapen om Europeiska unionen. Organisationen ansvarar själv för eventuella problem, yrkanden och andra påföljder som föranleds av projektet. Den verksamhet som finansieras genom stödet ska vara samhälleligt godtagbar.</w:t>
      </w:r>
    </w:p>
    <w:p w14:paraId="100C5B58" w14:textId="77777777" w:rsidR="001D6875" w:rsidRDefault="00F136BD">
      <w:pPr>
        <w:spacing w:after="62" w:line="259" w:lineRule="auto"/>
        <w:ind w:left="1060" w:firstLine="0"/>
      </w:pPr>
      <w:r>
        <w:t xml:space="preserve"> </w:t>
      </w:r>
    </w:p>
    <w:p w14:paraId="40ECCB92" w14:textId="77777777" w:rsidR="001D6875" w:rsidRDefault="4FBED740">
      <w:pPr>
        <w:ind w:left="1049"/>
      </w:pPr>
      <w:r>
        <w:t xml:space="preserve">Organisationen ska själv stå för en del av informationsprojektets kostnader. Frivilligarbete kan räknas som självfinansiering. Den egna insatsen ska komma från inhemska källor och organisationen ska redovisa för dess ursprung.  </w:t>
      </w:r>
    </w:p>
    <w:p w14:paraId="12F40E89" w14:textId="77777777" w:rsidR="001D6875" w:rsidRDefault="00F136BD">
      <w:pPr>
        <w:spacing w:after="62" w:line="259" w:lineRule="auto"/>
        <w:ind w:left="1060" w:firstLine="0"/>
      </w:pPr>
      <w:r>
        <w:t xml:space="preserve"> </w:t>
      </w:r>
    </w:p>
    <w:p w14:paraId="69F2E25D" w14:textId="77777777" w:rsidR="001D6875" w:rsidRDefault="4FBED740">
      <w:pPr>
        <w:spacing w:after="0"/>
        <w:ind w:left="1049"/>
      </w:pPr>
      <w:r>
        <w:t xml:space="preserve">Mottagare av statsunderstöd ska i sin ansökan och i den verksamhet som finansieras följa statsunderstödslagen (688/2001) och de bestämmelser som utfärdats med stöd av den samt lagen om offentlig upphandling och koncession (1397/2016) och annan lagstiftning som tillämpas på verksamheten. Därtill ska organisationen följa dessa allmänna anvisningar och de villkor som ställts i beslutet om statsunderstöd. </w:t>
      </w:r>
    </w:p>
    <w:p w14:paraId="5F8AD810" w14:textId="5BF7D418" w:rsidR="001D6875" w:rsidRDefault="4FBED740">
      <w:pPr>
        <w:spacing w:after="508"/>
        <w:ind w:left="1049"/>
      </w:pPr>
      <w:bookmarkStart w:id="0" w:name="_GoBack"/>
      <w:bookmarkEnd w:id="0"/>
      <w:r>
        <w:t xml:space="preserve">Om det i statsunderstödsbeslutet ingår villkor som avviker från dessa allmänna villkor, ska organisationen följa villkoren i beslutet.   </w:t>
      </w:r>
    </w:p>
    <w:p w14:paraId="65D4FA69" w14:textId="77777777" w:rsidR="001D6875" w:rsidRDefault="4FBED740">
      <w:pPr>
        <w:pStyle w:val="Rubrik1"/>
        <w:ind w:left="335"/>
      </w:pPr>
      <w:r>
        <w:t xml:space="preserve">Användning av statsunderstöd </w:t>
      </w:r>
    </w:p>
    <w:p w14:paraId="04776ACA" w14:textId="77777777" w:rsidR="001D6875" w:rsidRDefault="4FBED740">
      <w:pPr>
        <w:ind w:left="1049"/>
      </w:pPr>
      <w:r>
        <w:t xml:space="preserve">Statsunderstödet får användas endast för ändamål som överensstämmer med statsunderstödsbeslutet.  </w:t>
      </w:r>
    </w:p>
    <w:p w14:paraId="608DEACE" w14:textId="77777777" w:rsidR="001D6875" w:rsidRDefault="00F136BD">
      <w:pPr>
        <w:spacing w:after="62" w:line="259" w:lineRule="auto"/>
        <w:ind w:left="1050" w:firstLine="0"/>
      </w:pPr>
      <w:r>
        <w:t xml:space="preserve"> </w:t>
      </w:r>
    </w:p>
    <w:p w14:paraId="3892DF0E" w14:textId="1699B949" w:rsidR="001D6875" w:rsidRDefault="4FBED740" w:rsidP="0073295E">
      <w:pPr>
        <w:ind w:left="1045" w:firstLine="0"/>
      </w:pPr>
      <w:r>
        <w:t>Organisationen ska på förhand underrätta statsrådets kansli om tillställningar, seminarier, utställningar eller andra evenemang som ordas med hjälp av statsunderstödet, så att statsrådets kansli vid behov kan sända sin representant till evenemanget. Informationen ska skickas per e-post till adressen eurooppatiedotus@gov.fi.</w:t>
      </w:r>
    </w:p>
    <w:p w14:paraId="2BAC6FC9" w14:textId="77777777" w:rsidR="001D6875" w:rsidRDefault="00F136BD">
      <w:pPr>
        <w:spacing w:after="61" w:line="259" w:lineRule="auto"/>
        <w:ind w:left="1050" w:firstLine="0"/>
      </w:pPr>
      <w:r>
        <w:t xml:space="preserve"> </w:t>
      </w:r>
    </w:p>
    <w:p w14:paraId="4ED58BB9" w14:textId="4D545BDD" w:rsidR="001D6875" w:rsidRDefault="4FBED740">
      <w:pPr>
        <w:spacing w:after="26"/>
        <w:ind w:left="1049" w:right="169"/>
      </w:pPr>
      <w:r>
        <w:t xml:space="preserve">Understödet ska användas inom det år som det beviljats för. Det är emellertid möjligt att godkänna kostnader för revision eller granskning av verksamheten som en del av projektets kostnader även om granskningen genomförs följande år. Organisationen ska returnera förbindelseblanketten och utbetalningsblanketten senast </w:t>
      </w:r>
      <w:r>
        <w:rPr>
          <w:b/>
          <w:bCs/>
        </w:rPr>
        <w:t>den 31 mars 2024</w:t>
      </w:r>
      <w:r>
        <w:t>. I annat fall kan statsrådets kansli upphäva stödbeslutet och omfördela de medel som beslutet gällde.</w:t>
      </w:r>
    </w:p>
    <w:p w14:paraId="62E058C7" w14:textId="77777777" w:rsidR="001D6875" w:rsidRDefault="4FBED740">
      <w:pPr>
        <w:ind w:left="4"/>
      </w:pPr>
      <w:r>
        <w:lastRenderedPageBreak/>
        <w:t xml:space="preserve">Sida 1/6 </w:t>
      </w:r>
    </w:p>
    <w:p w14:paraId="06567274" w14:textId="5DCAC2A6" w:rsidR="001D6875" w:rsidRDefault="4FBED740">
      <w:pPr>
        <w:spacing w:after="353"/>
        <w:ind w:left="1049"/>
      </w:pPr>
      <w:r>
        <w:t>Understödet betalas i en eller flera poster till det bankkonto som organisationen uppger. Organisationen ska lämna in blanketten med anhållan om utbetalning, korrekt ifylld enligt statsrådets kanslis anvisningar.</w:t>
      </w:r>
    </w:p>
    <w:p w14:paraId="35823F3C" w14:textId="77777777" w:rsidR="001D6875" w:rsidRDefault="4FBED740">
      <w:pPr>
        <w:pStyle w:val="Rubrik2"/>
        <w:ind w:left="1045"/>
      </w:pPr>
      <w:r>
        <w:t xml:space="preserve">Godtagbara kostnader </w:t>
      </w:r>
    </w:p>
    <w:p w14:paraId="54810A74" w14:textId="3BAE6914" w:rsidR="001D6875" w:rsidRDefault="4FBED740">
      <w:pPr>
        <w:ind w:left="1049"/>
      </w:pPr>
      <w:r>
        <w:t xml:space="preserve">Understödet ska endast användas till nödvändiga och rimliga utgifter med tanke på projektets genomförande. Det får endast användas på det sätt som uppgetts i ansökan och enligt de villkor som statsrådets kansli fastställde då stödet beviljades. I sin verksamhet och ekonomi ska organisationen iaktta ändamålsenlig sparsamhet.  </w:t>
      </w:r>
    </w:p>
    <w:p w14:paraId="156A6281" w14:textId="77777777" w:rsidR="001D6875" w:rsidRDefault="00F136BD">
      <w:pPr>
        <w:spacing w:after="62" w:line="259" w:lineRule="auto"/>
        <w:ind w:left="1050" w:firstLine="0"/>
      </w:pPr>
      <w:r>
        <w:t xml:space="preserve"> </w:t>
      </w:r>
    </w:p>
    <w:p w14:paraId="5F9D4AAC" w14:textId="77777777" w:rsidR="001D6875" w:rsidRDefault="4FBED740">
      <w:pPr>
        <w:ind w:left="1049"/>
      </w:pPr>
      <w:r>
        <w:t xml:space="preserve">Stöd kan inte beviljas för följande kostnader: </w:t>
      </w:r>
    </w:p>
    <w:p w14:paraId="5B9A173A" w14:textId="77777777" w:rsidR="001D6875" w:rsidRDefault="4FBED740">
      <w:pPr>
        <w:numPr>
          <w:ilvl w:val="0"/>
          <w:numId w:val="1"/>
        </w:numPr>
        <w:spacing w:after="36"/>
        <w:ind w:hanging="280"/>
      </w:pPr>
      <w:r>
        <w:t xml:space="preserve">organisationens ordinarie administrativa utgifter </w:t>
      </w:r>
    </w:p>
    <w:p w14:paraId="2730C4BB" w14:textId="77777777" w:rsidR="001D6875" w:rsidRDefault="4FBED740">
      <w:pPr>
        <w:numPr>
          <w:ilvl w:val="0"/>
          <w:numId w:val="1"/>
        </w:numPr>
        <w:ind w:hanging="280"/>
      </w:pPr>
      <w:r>
        <w:t xml:space="preserve">representationsutgifter (t.ex. fristående middagar, gåvor till föreläsare) </w:t>
      </w:r>
    </w:p>
    <w:p w14:paraId="7ECF00C8" w14:textId="77777777" w:rsidR="001D6875" w:rsidRDefault="4FBED740">
      <w:pPr>
        <w:numPr>
          <w:ilvl w:val="0"/>
          <w:numId w:val="1"/>
        </w:numPr>
        <w:spacing w:after="36"/>
        <w:ind w:hanging="280"/>
      </w:pPr>
      <w:r>
        <w:t xml:space="preserve">anskaffning av utrustning (t.ex. datorer, kamerautrustning) </w:t>
      </w:r>
    </w:p>
    <w:p w14:paraId="1A7C35FD" w14:textId="77777777" w:rsidR="001D6875" w:rsidRDefault="4FBED740">
      <w:pPr>
        <w:numPr>
          <w:ilvl w:val="0"/>
          <w:numId w:val="1"/>
        </w:numPr>
        <w:ind w:hanging="280"/>
      </w:pPr>
      <w:r>
        <w:t xml:space="preserve">publikationer som presenterar organisationen eller dess verksamhet (t.ex. organisationens tidning eller webbplats) </w:t>
      </w:r>
    </w:p>
    <w:p w14:paraId="2EC8D524" w14:textId="77777777" w:rsidR="001D6875" w:rsidRDefault="4FBED740">
      <w:pPr>
        <w:numPr>
          <w:ilvl w:val="0"/>
          <w:numId w:val="1"/>
        </w:numPr>
        <w:ind w:hanging="280"/>
      </w:pPr>
      <w:r>
        <w:t xml:space="preserve">utlandsresor, om inte resan är av väsentlig betydelse för projektet (motivering ska framläggas separat) </w:t>
      </w:r>
    </w:p>
    <w:p w14:paraId="5309FAC4" w14:textId="77777777" w:rsidR="001D6875" w:rsidRDefault="4FBED740">
      <w:pPr>
        <w:numPr>
          <w:ilvl w:val="0"/>
          <w:numId w:val="1"/>
        </w:numPr>
        <w:spacing w:after="37"/>
        <w:ind w:hanging="280"/>
      </w:pPr>
      <w:r>
        <w:t xml:space="preserve">personalens planeringsmöten och trakteringskostnader </w:t>
      </w:r>
    </w:p>
    <w:p w14:paraId="133B8D7B" w14:textId="77777777" w:rsidR="001D6875" w:rsidRDefault="4FBED740">
      <w:pPr>
        <w:numPr>
          <w:ilvl w:val="0"/>
          <w:numId w:val="1"/>
        </w:numPr>
        <w:spacing w:after="30"/>
        <w:ind w:hanging="280"/>
      </w:pPr>
      <w:r>
        <w:t xml:space="preserve">informationsverksamhet som redan genomförts. </w:t>
      </w:r>
    </w:p>
    <w:p w14:paraId="20876B09" w14:textId="77777777" w:rsidR="001D6875" w:rsidRDefault="00F136BD">
      <w:pPr>
        <w:spacing w:after="62" w:line="259" w:lineRule="auto"/>
        <w:ind w:left="1050" w:firstLine="0"/>
      </w:pPr>
      <w:r>
        <w:t xml:space="preserve"> </w:t>
      </w:r>
    </w:p>
    <w:p w14:paraId="4402493C" w14:textId="77777777" w:rsidR="001D6875" w:rsidRDefault="4FBED740">
      <w:pPr>
        <w:ind w:left="1049"/>
      </w:pPr>
      <w:r>
        <w:t xml:space="preserve">Stödet får användas till lönekostnader. Lönekostnaderna med bikostnader får utgöra högst 30 procent av det beviljade statsunderstödet.  </w:t>
      </w:r>
    </w:p>
    <w:p w14:paraId="10146664" w14:textId="77777777" w:rsidR="001D6875" w:rsidRDefault="00F136BD">
      <w:pPr>
        <w:spacing w:after="62" w:line="259" w:lineRule="auto"/>
        <w:ind w:left="1050" w:firstLine="0"/>
      </w:pPr>
      <w:r>
        <w:t xml:space="preserve"> </w:t>
      </w:r>
    </w:p>
    <w:p w14:paraId="74DC707C" w14:textId="606E1D9C" w:rsidR="00FA14D9" w:rsidRDefault="4FBED740" w:rsidP="00FA14D9">
      <w:pPr>
        <w:spacing w:after="508"/>
        <w:ind w:left="1049"/>
      </w:pPr>
      <w:r>
        <w:t xml:space="preserve">Projektets administrationskostnader får uppgå till högst 10 procent av det beviljade statsunderstödet. </w:t>
      </w:r>
    </w:p>
    <w:p w14:paraId="73EEC8DD" w14:textId="77777777" w:rsidR="001D6875" w:rsidRDefault="4FBED740">
      <w:pPr>
        <w:pStyle w:val="Rubrik1"/>
        <w:ind w:left="335"/>
      </w:pPr>
      <w:r>
        <w:t xml:space="preserve">Övervakning av användningen </w:t>
      </w:r>
    </w:p>
    <w:p w14:paraId="2D2B70EC" w14:textId="77777777" w:rsidR="001D6875" w:rsidRDefault="4FBED740">
      <w:pPr>
        <w:pStyle w:val="Rubrik2"/>
        <w:ind w:left="1045"/>
      </w:pPr>
      <w:r>
        <w:t xml:space="preserve">Understödstagarens skyldighet att lämna uppgifter </w:t>
      </w:r>
    </w:p>
    <w:p w14:paraId="4EC5D4A4" w14:textId="56355127" w:rsidR="001D6875" w:rsidRDefault="4FBED740">
      <w:pPr>
        <w:ind w:left="1049"/>
      </w:pPr>
      <w:r>
        <w:t xml:space="preserve">Statsrådets kansli övervakar användningen av statsunderstödet. Mottagaren är skyldig att lämna statsrådets kansli uppgifter om användningen och uppföljningen av understödet samt andra uppgifter som behövs för övervakningen.  </w:t>
      </w:r>
    </w:p>
    <w:p w14:paraId="5B68B9CD" w14:textId="77777777" w:rsidR="001D6875" w:rsidRDefault="00F136BD">
      <w:pPr>
        <w:spacing w:after="62" w:line="259" w:lineRule="auto"/>
        <w:ind w:left="1050" w:firstLine="0"/>
      </w:pPr>
      <w:r>
        <w:t xml:space="preserve"> </w:t>
      </w:r>
    </w:p>
    <w:p w14:paraId="230E66DA" w14:textId="4D91DE61" w:rsidR="001D6875" w:rsidRDefault="4FBED740">
      <w:pPr>
        <w:ind w:left="1049"/>
      </w:pPr>
      <w:r>
        <w:t>Om organisationen vill ändra projektets verksamhetsplan eller kostnadskalkyl eller använda understödet för något annat ändamål än det som det har beviljats för, ska organisationen skriftligen ansöka om tillstånd för ändring av ändamålet hos statsrådets kansli. Tillstånd ska alltid sökas på förhand innan verksamheten inleds. Organisationen ska utan dröjsmål underrätta statsrådets kansli om ändringar som väsentligt påverkar tidtabellen för genomförandet av projektet eller användningen av understödet.</w:t>
      </w:r>
      <w:r>
        <w:br/>
      </w:r>
    </w:p>
    <w:p w14:paraId="2F405E4F" w14:textId="77777777" w:rsidR="001D6875" w:rsidRDefault="4FBED740">
      <w:pPr>
        <w:pStyle w:val="Rubrik2"/>
        <w:ind w:left="1045"/>
      </w:pPr>
      <w:r>
        <w:lastRenderedPageBreak/>
        <w:t xml:space="preserve">Utredningsskyldighet </w:t>
      </w:r>
    </w:p>
    <w:p w14:paraId="3D35462E" w14:textId="18423D9F" w:rsidR="001D6875" w:rsidRDefault="4FBED740">
      <w:pPr>
        <w:spacing w:after="0"/>
        <w:ind w:left="1049"/>
      </w:pPr>
      <w:r>
        <w:t xml:space="preserve">När användningstiden för statsunderstödet har gått ut ska mottagaren redovisa för användningen av understödet och genomförandet av projektet inom den tidsfrist som anges i understödsbeslutet. </w:t>
      </w:r>
    </w:p>
    <w:p w14:paraId="1424EAEC" w14:textId="190E6D41" w:rsidR="001D6875" w:rsidRDefault="4FBED740">
      <w:pPr>
        <w:ind w:left="1049"/>
      </w:pPr>
      <w:r>
        <w:t xml:space="preserve">Statsrådets kansli kan kräva att understödstagaren lämnar in en redogörelse för användningen av understödet och för hur projektet framskrider redan innan tidsfristen går ut. </w:t>
      </w:r>
    </w:p>
    <w:p w14:paraId="1B7172F4" w14:textId="77777777" w:rsidR="001D6875" w:rsidRDefault="00F136BD">
      <w:pPr>
        <w:spacing w:after="62" w:line="259" w:lineRule="auto"/>
        <w:ind w:left="1050" w:firstLine="0"/>
      </w:pPr>
      <w:r>
        <w:t xml:space="preserve"> </w:t>
      </w:r>
    </w:p>
    <w:p w14:paraId="004C4E11" w14:textId="37964455" w:rsidR="001D6875" w:rsidRDefault="4FBED740">
      <w:pPr>
        <w:ind w:left="1049"/>
      </w:pPr>
      <w:r>
        <w:t xml:space="preserve">I projektets bokföring ska stödtagaren följa bokföringslagen (1336/1997), bokföringsförordningen (1339/1997) och iaktta god bokföringssed. Projektets bokföring ska ordnas så att uppgifterna om och redovisningen av understödet, projektets totala tillgångar och självfinansieringsandelen syns som separata konton och så att de utan svårighet kan klarläggas och granskas i bokföringen. De kostnadsslag som enligt kostnadskalkylen ingår i projektet ska om möjligt finnas på underkonton till det separata kontot. Verifikaten ska innehålla de uppgifter som är nödvändiga för bokföringen och de ska arkiveras och förvaras så att statsrådets kansli kan granska dem.  </w:t>
      </w:r>
    </w:p>
    <w:p w14:paraId="325CE300" w14:textId="77777777" w:rsidR="001D6875" w:rsidRDefault="00F136BD">
      <w:pPr>
        <w:spacing w:after="62" w:line="259" w:lineRule="auto"/>
        <w:ind w:left="1050" w:firstLine="0"/>
      </w:pPr>
      <w:r>
        <w:t xml:space="preserve"> </w:t>
      </w:r>
    </w:p>
    <w:p w14:paraId="2EEDBDB5" w14:textId="3964A7D1" w:rsidR="001D6875" w:rsidRDefault="4FBED740">
      <w:pPr>
        <w:ind w:left="1049"/>
      </w:pPr>
      <w:r>
        <w:t xml:space="preserve">Organisationen ska lämna en rapport till statsrådets kansli om varje projekt, dess verksamhet och medelsanvändning. Rapporten ska följa statsrådets kanslis anvisningar. Under punkt 5 på rapporteringsblanketten, ”Redovisning av projektet”, ska organisationen redovisa för användningen av statsunderstödet. Redovisningen ska vara specificerad enligt kostnadsslag. De projektansvariga personerna ska godkänna och underteckna den del av rapporten som gäller projektets verksamhet. Organisationens revisor eller verksamhetsgranskare ska godkänna och underteckna den del av rapporten som gäller medelsanvändningen. Redovisningen av medelsanvändningen kan verifieras av en revisor eller av en verksamhetsgranskare beroende på hur organisationen är skyldig att ordna revisionen enligt revisionslagen (1141/2015) och föreningslagen (503/1989). </w:t>
      </w:r>
    </w:p>
    <w:p w14:paraId="25DD3341" w14:textId="77777777" w:rsidR="001D6875" w:rsidRDefault="00F136BD">
      <w:pPr>
        <w:spacing w:after="62" w:line="259" w:lineRule="auto"/>
        <w:ind w:left="1050" w:firstLine="0"/>
      </w:pPr>
      <w:r>
        <w:t xml:space="preserve"> </w:t>
      </w:r>
    </w:p>
    <w:p w14:paraId="27BDDE82" w14:textId="77777777" w:rsidR="001D6875" w:rsidRDefault="00F136BD">
      <w:pPr>
        <w:ind w:left="1049"/>
      </w:pPr>
      <w:r>
        <w:t xml:space="preserve">Till rapporten ska bifogas ett modellexemplar eller någon annan dokumentation av det informationsmaterial som projektet producerat. Till rapporten bifogas också revisorns eller verksamhetsgranskarens utlåtande om att understödet använts enligt de fastställda villkoren och bestämmelserna för statsunderstöd. </w:t>
      </w:r>
    </w:p>
    <w:p w14:paraId="23DD831B" w14:textId="77777777" w:rsidR="001D6875" w:rsidRDefault="00F136BD">
      <w:pPr>
        <w:spacing w:after="62" w:line="259" w:lineRule="auto"/>
        <w:ind w:left="1050" w:firstLine="0"/>
      </w:pPr>
      <w:r>
        <w:t xml:space="preserve"> </w:t>
      </w:r>
    </w:p>
    <w:p w14:paraId="4067C5F2" w14:textId="77777777" w:rsidR="001D6875" w:rsidRDefault="00F136BD">
      <w:pPr>
        <w:ind w:left="1049"/>
      </w:pPr>
      <w:r>
        <w:t xml:space="preserve">Rapporten ska lämnas in senast i mitten av mars året efter det år som understödet beviljats för. Om organisationen försummar rapporteringen kan det utgöra ett hinder för att beviljas understöd i framtiden. </w:t>
      </w:r>
    </w:p>
    <w:p w14:paraId="28CE8CB7" w14:textId="77777777" w:rsidR="001D6875" w:rsidRDefault="00F136BD">
      <w:pPr>
        <w:spacing w:after="62" w:line="259" w:lineRule="auto"/>
        <w:ind w:left="1050" w:firstLine="0"/>
      </w:pPr>
      <w:r>
        <w:t xml:space="preserve"> </w:t>
      </w:r>
    </w:p>
    <w:p w14:paraId="59CD9A3D" w14:textId="586A25B5" w:rsidR="001D6875" w:rsidRDefault="4FBED740">
      <w:pPr>
        <w:ind w:left="1049"/>
      </w:pPr>
      <w:r>
        <w:t xml:space="preserve">Statsrådets kansli kan även vid behov be stödmottagaren om andra utredningar. </w:t>
      </w:r>
    </w:p>
    <w:p w14:paraId="1895D3B7" w14:textId="77777777" w:rsidR="001D6875" w:rsidRDefault="00F136BD">
      <w:pPr>
        <w:spacing w:after="342" w:line="259" w:lineRule="auto"/>
        <w:ind w:left="340" w:firstLine="0"/>
      </w:pPr>
      <w:r>
        <w:rPr>
          <w:b/>
        </w:rPr>
        <w:t xml:space="preserve"> </w:t>
      </w:r>
    </w:p>
    <w:p w14:paraId="571F01C8" w14:textId="77777777" w:rsidR="001D6875" w:rsidRDefault="00F136BD">
      <w:pPr>
        <w:pStyle w:val="Rubrik2"/>
        <w:ind w:left="1045"/>
      </w:pPr>
      <w:r>
        <w:t xml:space="preserve">Rätt att utföra inspektioner och förvaring av handlingar </w:t>
      </w:r>
    </w:p>
    <w:p w14:paraId="6EE60444" w14:textId="32C25994" w:rsidR="001D6875" w:rsidRDefault="4FBED740">
      <w:pPr>
        <w:ind w:left="1049"/>
      </w:pPr>
      <w:r>
        <w:t xml:space="preserve">Statsrådets kansli har rätt att i samband med utbetalningen av statsunderstöd och övervakningen av dess användning utföra nödvändiga granskningar som gäller understödstagarens ekonomi och verksamhet.  </w:t>
      </w:r>
    </w:p>
    <w:p w14:paraId="7FDE0BDC" w14:textId="77777777" w:rsidR="001D6875" w:rsidRDefault="00F136BD">
      <w:pPr>
        <w:spacing w:after="0" w:line="259" w:lineRule="auto"/>
        <w:ind w:left="1050" w:firstLine="0"/>
      </w:pPr>
      <w:r>
        <w:lastRenderedPageBreak/>
        <w:t xml:space="preserve"> </w:t>
      </w:r>
    </w:p>
    <w:p w14:paraId="3F8E524E" w14:textId="28A05D34" w:rsidR="001D6875" w:rsidRDefault="4FBED740">
      <w:pPr>
        <w:ind w:left="1049"/>
      </w:pPr>
      <w:r>
        <w:t xml:space="preserve">Statsrådets kansli eller en av kansliet utsedd representant, statens revisionsverk och statsrevisorerna har rätt att i organisationens lokaler eller någon annanstans granska organisationens hela bokföring, tillgångar och övriga för revisionen relevanta uppgifter, utredningar, dokument, inspelningar och annat material, samt även i övrigt granska hur projektet har genomförts. Organisationen är skyldig att lämna korrekta och tillräckliga uppgifter till statsrådets kansli, att överlåta den dokumentation som behövs och även på annat sätt bistå statsrådets kansli vid granskningen.  </w:t>
      </w:r>
    </w:p>
    <w:p w14:paraId="6C1031F9" w14:textId="77777777" w:rsidR="001D6875" w:rsidRDefault="00F136BD">
      <w:pPr>
        <w:spacing w:after="62" w:line="259" w:lineRule="auto"/>
        <w:ind w:left="1050" w:firstLine="0"/>
      </w:pPr>
      <w:r>
        <w:t xml:space="preserve"> </w:t>
      </w:r>
    </w:p>
    <w:p w14:paraId="698724A4" w14:textId="77777777" w:rsidR="001D6875" w:rsidRDefault="00F136BD">
      <w:pPr>
        <w:ind w:left="1049"/>
      </w:pPr>
      <w:r>
        <w:t xml:space="preserve">Verifikat över projektets bokföring ska i enlighet med bokföringslagen bevaras i minst sex (6) år efter utgången av det år då räkenskapsperioden löpt ut. Upphandlingsavtal och andra avtal ska dokumenteras och arkiveras.  </w:t>
      </w:r>
    </w:p>
    <w:p w14:paraId="4CE745D7" w14:textId="77777777" w:rsidR="001D6875" w:rsidRDefault="00F136BD">
      <w:pPr>
        <w:spacing w:after="62" w:line="259" w:lineRule="auto"/>
        <w:ind w:left="1050" w:firstLine="0"/>
      </w:pPr>
      <w:r>
        <w:t xml:space="preserve"> </w:t>
      </w:r>
    </w:p>
    <w:p w14:paraId="2FDF688D" w14:textId="77777777" w:rsidR="001D6875" w:rsidRDefault="00F136BD">
      <w:pPr>
        <w:spacing w:after="353"/>
        <w:ind w:left="1049"/>
      </w:pPr>
      <w:r>
        <w:t xml:space="preserve">Enligt statsunderstödslagen upphör möjligheten att återkräva understöd när tio (10) år har förflutit sedan statsunderstödets sista utbetalning, om inte annat föreskrivs. </w:t>
      </w:r>
    </w:p>
    <w:p w14:paraId="10DA5D00" w14:textId="77777777" w:rsidR="001D6875" w:rsidRDefault="00F136BD">
      <w:pPr>
        <w:pStyle w:val="Rubrik2"/>
        <w:ind w:left="1045"/>
      </w:pPr>
      <w:r>
        <w:t xml:space="preserve">Avbrytande av utbetalning </w:t>
      </w:r>
    </w:p>
    <w:p w14:paraId="54D1500B" w14:textId="41DDFA08" w:rsidR="001D6875" w:rsidRDefault="4FBED740">
      <w:pPr>
        <w:spacing w:after="507"/>
        <w:ind w:left="1049"/>
      </w:pPr>
      <w:r>
        <w:t>Statsrådets kansli kan avbryta utbetalningen av understöd om det finns grundad anledning att misstänka att organisationen inte handlar i enlighet med villkoren för användningen av understödet eller om grunderna för beviljandet av understödet har förändrats väsentligt.</w:t>
      </w:r>
    </w:p>
    <w:p w14:paraId="2F59B5F6" w14:textId="77777777" w:rsidR="00FA14D9" w:rsidRPr="00FA14D9" w:rsidRDefault="4FBED740" w:rsidP="4FBED740">
      <w:pPr>
        <w:pStyle w:val="Rubrik2"/>
        <w:ind w:left="1045"/>
        <w:rPr>
          <w:color w:val="auto"/>
        </w:rPr>
      </w:pPr>
      <w:r>
        <w:rPr>
          <w:color w:val="auto"/>
        </w:rPr>
        <w:t>Iakttagande av sanktionssystem</w:t>
      </w:r>
    </w:p>
    <w:p w14:paraId="02997407" w14:textId="0CC57355" w:rsidR="00FA14D9" w:rsidRPr="00FA14D9" w:rsidRDefault="4FBED740" w:rsidP="4FBED740">
      <w:pPr>
        <w:spacing w:after="508"/>
        <w:ind w:left="1049"/>
        <w:rPr>
          <w:color w:val="auto"/>
        </w:rPr>
      </w:pPr>
      <w:r>
        <w:rPr>
          <w:color w:val="auto"/>
        </w:rPr>
        <w:t>Mottagaren av understöd ska genomföra tillbörliga åtgärder för att säkerställa att de medel som statsrådets kansli har beviljat för att stödja understödstagaren inte överlåts eller på annat sätt används för att ge stöd eller ekonomiskt stödja personer, sammanslutningar, terrorister eller terroristorganisationer som finns upptagna i den konsoliderade förteckningen över FN:s säkerhetsråds sanktioner eller i EU:s sanktionsförordningar (i deras tidvis ändrade lydelse). Om understödstagaren under giltighetstiden för den verksamhet som är föremål för understödet upptäcker att dessa medel har använts för ovan nämnda ändamål ska statsrådets kansli omedelbart informeras om detta.</w:t>
      </w:r>
    </w:p>
    <w:p w14:paraId="0CD36289" w14:textId="77777777" w:rsidR="001D6875" w:rsidRDefault="00F136BD">
      <w:pPr>
        <w:pStyle w:val="Rubrik1"/>
        <w:ind w:left="335"/>
      </w:pPr>
      <w:r>
        <w:t xml:space="preserve">Återbetalning och återkrav av statsunderstöd </w:t>
      </w:r>
    </w:p>
    <w:p w14:paraId="0ED57B9C" w14:textId="6DB510C0" w:rsidR="001D6875" w:rsidRDefault="4FBED740">
      <w:pPr>
        <w:ind w:left="1049"/>
      </w:pPr>
      <w:r>
        <w:t xml:space="preserve">Om statsrådets kanslis villkor för användningen av understödet inte iakttas, kan kansliet  </w:t>
      </w:r>
    </w:p>
    <w:p w14:paraId="50D33522" w14:textId="77777777" w:rsidR="001D6875" w:rsidRDefault="00F136BD">
      <w:pPr>
        <w:numPr>
          <w:ilvl w:val="0"/>
          <w:numId w:val="2"/>
        </w:numPr>
        <w:spacing w:after="47"/>
        <w:ind w:hanging="425"/>
      </w:pPr>
      <w:r>
        <w:t xml:space="preserve">fastställa en tidsram inom vilken villkoren ska uppfyllas </w:t>
      </w:r>
    </w:p>
    <w:p w14:paraId="7CE49867" w14:textId="77777777" w:rsidR="001D6875" w:rsidRDefault="00F136BD">
      <w:pPr>
        <w:numPr>
          <w:ilvl w:val="0"/>
          <w:numId w:val="2"/>
        </w:numPr>
        <w:spacing w:after="42"/>
        <w:ind w:hanging="425"/>
      </w:pPr>
      <w:r>
        <w:t xml:space="preserve">avbryta utbetalningen av understödet </w:t>
      </w:r>
    </w:p>
    <w:p w14:paraId="0C1D5034" w14:textId="77777777" w:rsidR="001D6875" w:rsidRDefault="00F136BD">
      <w:pPr>
        <w:numPr>
          <w:ilvl w:val="0"/>
          <w:numId w:val="2"/>
        </w:numPr>
        <w:spacing w:after="311"/>
        <w:ind w:hanging="425"/>
      </w:pPr>
      <w:r>
        <w:t xml:space="preserve">besluta att redan utbetalt understöd ska återbetalas. </w:t>
      </w:r>
    </w:p>
    <w:p w14:paraId="0C8ED716" w14:textId="77777777" w:rsidR="001D6875" w:rsidRDefault="00F136BD">
      <w:pPr>
        <w:pStyle w:val="Rubrik2"/>
        <w:ind w:left="1045"/>
      </w:pPr>
      <w:r>
        <w:t xml:space="preserve">Återbetalningsskyldighet </w:t>
      </w:r>
    </w:p>
    <w:p w14:paraId="27123934" w14:textId="77777777" w:rsidR="001D6875" w:rsidRDefault="00F136BD">
      <w:pPr>
        <w:ind w:left="1049"/>
      </w:pPr>
      <w:r>
        <w:t xml:space="preserve">Organisationen är skyldig att utan dröjsmål återbetala  </w:t>
      </w:r>
    </w:p>
    <w:p w14:paraId="5E760B7F" w14:textId="77777777" w:rsidR="001D6875" w:rsidRDefault="00F136BD">
      <w:pPr>
        <w:numPr>
          <w:ilvl w:val="0"/>
          <w:numId w:val="3"/>
        </w:numPr>
        <w:ind w:hanging="425"/>
      </w:pPr>
      <w:r>
        <w:lastRenderedPageBreak/>
        <w:t xml:space="preserve">den del av understödet som blivit oanvänd när projektet avslutas eller avbryts eller om medlen av någon annan orsak inte kan användas på det sätt som förutsätts i stödbeslutet  </w:t>
      </w:r>
    </w:p>
    <w:p w14:paraId="3D4FABCA" w14:textId="4455FB96" w:rsidR="001D6875" w:rsidRDefault="4B3332C4">
      <w:pPr>
        <w:numPr>
          <w:ilvl w:val="0"/>
          <w:numId w:val="3"/>
        </w:numPr>
        <w:ind w:hanging="425"/>
      </w:pPr>
      <w:r>
        <w:t xml:space="preserve">den del av understödet som inte har använts inom den utsatta tidsfristen i villkoren för stödet, om inte statsrådets kansli har beviljat extra tid </w:t>
      </w:r>
    </w:p>
    <w:p w14:paraId="099C659A" w14:textId="77777777" w:rsidR="001D6875" w:rsidRDefault="00F136BD">
      <w:pPr>
        <w:numPr>
          <w:ilvl w:val="0"/>
          <w:numId w:val="3"/>
        </w:numPr>
        <w:ind w:hanging="425"/>
      </w:pPr>
      <w:r>
        <w:t>understöd eller en del av det som betalats ut på fel sätt, i ett för stort belopp eller på annat sätt uppenbart utan grund.</w:t>
      </w:r>
      <w:r>
        <w:rPr>
          <w:b/>
        </w:rPr>
        <w:t xml:space="preserve"> </w:t>
      </w:r>
      <w:r>
        <w:t xml:space="preserve"> </w:t>
      </w:r>
    </w:p>
    <w:p w14:paraId="7D149327" w14:textId="77777777" w:rsidR="001D6875" w:rsidRDefault="00F136BD">
      <w:pPr>
        <w:spacing w:after="62" w:line="259" w:lineRule="auto"/>
        <w:ind w:left="1060" w:firstLine="0"/>
      </w:pPr>
      <w:r>
        <w:rPr>
          <w:b/>
        </w:rPr>
        <w:t xml:space="preserve"> </w:t>
      </w:r>
    </w:p>
    <w:p w14:paraId="1073FCD3" w14:textId="6B7BDD1F" w:rsidR="001D6875" w:rsidRDefault="4B3332C4">
      <w:pPr>
        <w:ind w:left="1049"/>
      </w:pPr>
      <w:r>
        <w:t>Om det belopp som ska återbetalas är 100 euro eller mindre, behöver det inte återbetalas.</w:t>
      </w:r>
      <w:r>
        <w:br/>
        <w:t xml:space="preserve"> </w:t>
      </w:r>
    </w:p>
    <w:p w14:paraId="14348993" w14:textId="77777777" w:rsidR="001D6875" w:rsidRDefault="00F136BD">
      <w:pPr>
        <w:pStyle w:val="Rubrik2"/>
        <w:ind w:left="1045"/>
      </w:pPr>
      <w:r>
        <w:t xml:space="preserve">Återkrav </w:t>
      </w:r>
    </w:p>
    <w:p w14:paraId="1B168A23" w14:textId="39097CFC" w:rsidR="001D6875" w:rsidRDefault="4FBED740">
      <w:pPr>
        <w:ind w:left="1049"/>
      </w:pPr>
      <w:r>
        <w:t xml:space="preserve">Statsrådets kansli ska genom ett beslut bestämma att utbetalningen av statsunderstöd ska upphöra och att statsunderstöd som redan betalts ut ska återkrävas, om stödmottagaren </w:t>
      </w:r>
    </w:p>
    <w:p w14:paraId="253B9705" w14:textId="77777777" w:rsidR="001D6875" w:rsidRDefault="00F136BD">
      <w:pPr>
        <w:spacing w:after="73" w:line="259" w:lineRule="auto"/>
        <w:ind w:left="1060" w:firstLine="0"/>
      </w:pPr>
      <w:r>
        <w:t xml:space="preserve"> </w:t>
      </w:r>
    </w:p>
    <w:p w14:paraId="08DA0FC8" w14:textId="77777777" w:rsidR="001D6875" w:rsidRDefault="00F136BD">
      <w:pPr>
        <w:numPr>
          <w:ilvl w:val="0"/>
          <w:numId w:val="4"/>
        </w:numPr>
        <w:ind w:hanging="425"/>
      </w:pPr>
      <w:r>
        <w:t xml:space="preserve">underlåter att återbetala ett bidrag eller en del av det som den är skyldigt att återbetala  </w:t>
      </w:r>
    </w:p>
    <w:p w14:paraId="4A0BA1A2" w14:textId="77777777" w:rsidR="001D6875" w:rsidRDefault="00F136BD">
      <w:pPr>
        <w:numPr>
          <w:ilvl w:val="0"/>
          <w:numId w:val="4"/>
        </w:numPr>
        <w:ind w:hanging="425"/>
      </w:pPr>
      <w:r>
        <w:t xml:space="preserve">använt statsunderstödet till ett väsentligen annat ändamål än vad det beviljats för  </w:t>
      </w:r>
    </w:p>
    <w:p w14:paraId="7CE0C4C1" w14:textId="77777777" w:rsidR="001D6875" w:rsidRDefault="00F136BD">
      <w:pPr>
        <w:numPr>
          <w:ilvl w:val="0"/>
          <w:numId w:val="4"/>
        </w:numPr>
        <w:spacing w:after="90" w:line="244" w:lineRule="auto"/>
        <w:ind w:hanging="425"/>
      </w:pPr>
      <w:r>
        <w:t xml:space="preserve">lämnat felaktiga eller vilseledande uppgifter om någon omständighet för att väsentligt inverka på stödbeslutet, understödets belopp eller villkor, eller hemlighållit en sådan omständighet </w:t>
      </w:r>
    </w:p>
    <w:p w14:paraId="60898ED5" w14:textId="77777777" w:rsidR="001D6875" w:rsidRDefault="00F136BD">
      <w:pPr>
        <w:numPr>
          <w:ilvl w:val="0"/>
          <w:numId w:val="4"/>
        </w:numPr>
        <w:ind w:hanging="425"/>
      </w:pPr>
      <w:r>
        <w:t xml:space="preserve">i övrigt väsentligt brutit mot bestämmelserna om användning av understödet eller mot de villkor som nämns i stödbeslutet. </w:t>
      </w:r>
    </w:p>
    <w:p w14:paraId="752553BD" w14:textId="77777777" w:rsidR="001D6875" w:rsidRDefault="00F136BD">
      <w:pPr>
        <w:spacing w:after="62" w:line="259" w:lineRule="auto"/>
        <w:ind w:left="1060" w:firstLine="0"/>
      </w:pPr>
      <w:r>
        <w:t xml:space="preserve"> </w:t>
      </w:r>
    </w:p>
    <w:p w14:paraId="3855667C" w14:textId="40158E1B" w:rsidR="001D6875" w:rsidRDefault="4FBED740">
      <w:pPr>
        <w:ind w:left="1049"/>
      </w:pPr>
      <w:r>
        <w:t xml:space="preserve">Därtill kan statsrådets kansli genom ett beslut bestämma att utbetalningen av statsunderstödet ska upphöra och att ett redan utbetalt statsunderstöd eller en del av det ska återkrävas om </w:t>
      </w:r>
    </w:p>
    <w:p w14:paraId="56051E44" w14:textId="77777777" w:rsidR="001D6875" w:rsidRDefault="00F136BD">
      <w:pPr>
        <w:spacing w:after="73" w:line="259" w:lineRule="auto"/>
        <w:ind w:left="1060" w:firstLine="0"/>
      </w:pPr>
      <w:r>
        <w:t xml:space="preserve"> </w:t>
      </w:r>
    </w:p>
    <w:p w14:paraId="168C096B" w14:textId="77777777" w:rsidR="001D6875" w:rsidRDefault="00F136BD">
      <w:pPr>
        <w:numPr>
          <w:ilvl w:val="0"/>
          <w:numId w:val="4"/>
        </w:numPr>
        <w:ind w:hanging="425"/>
      </w:pPr>
      <w:r>
        <w:t xml:space="preserve">stödmottagaren inte lämnar in den begärda rapporten och andra redogörelser inom utsatt tid eller om stödmottagaren försvårar tillsynsåtgärder i fråga om användningen av understödet </w:t>
      </w:r>
    </w:p>
    <w:p w14:paraId="0C480097" w14:textId="77777777" w:rsidR="001D6875" w:rsidRDefault="00F136BD">
      <w:pPr>
        <w:numPr>
          <w:ilvl w:val="0"/>
          <w:numId w:val="4"/>
        </w:numPr>
        <w:ind w:hanging="425"/>
      </w:pPr>
      <w:r>
        <w:t xml:space="preserve">stödmottagaren har upphört med den verksamhet som statsunderstödet beviljats för eller inskränkt den väsentligt eller överlåtit den till någon annan </w:t>
      </w:r>
    </w:p>
    <w:p w14:paraId="2E2C3D26" w14:textId="77777777" w:rsidR="001D6875" w:rsidRDefault="00F136BD">
      <w:pPr>
        <w:numPr>
          <w:ilvl w:val="0"/>
          <w:numId w:val="4"/>
        </w:numPr>
        <w:ind w:hanging="425"/>
      </w:pPr>
      <w:r>
        <w:t xml:space="preserve">stödmottagaren har blivit föremål för utsökning, försatts i likvidation eller konkurs eller dess förmåga att ansvara för den verksamhet som understödet beviljats för har försvagats av någon annan orsak </w:t>
      </w:r>
    </w:p>
    <w:p w14:paraId="7B1E11D1" w14:textId="3FDB3E41" w:rsidR="001D6875" w:rsidRDefault="4FBED740">
      <w:pPr>
        <w:numPr>
          <w:ilvl w:val="0"/>
          <w:numId w:val="4"/>
        </w:numPr>
        <w:ind w:hanging="425"/>
      </w:pPr>
      <w:r>
        <w:t xml:space="preserve">stödmottagaren i övrigt underlåter att iaktta de villkor som statsrådets kansli fastställt för användningen av understödet eller de gällande bestämmelserna om statsunderstöd och dess verkställande, och det finns något annat särskilt skäl som kan jämföras med ovan nämnda omständigheter för att utbetalningen av understödet upphör eller återkrävs </w:t>
      </w:r>
    </w:p>
    <w:p w14:paraId="7073C6DE" w14:textId="77777777" w:rsidR="001D6875" w:rsidRDefault="00F136BD">
      <w:pPr>
        <w:numPr>
          <w:ilvl w:val="0"/>
          <w:numId w:val="4"/>
        </w:numPr>
        <w:spacing w:after="36"/>
        <w:ind w:hanging="425"/>
      </w:pPr>
      <w:r>
        <w:t xml:space="preserve">Europeiska unionens lagstiftning kräver det. </w:t>
      </w:r>
    </w:p>
    <w:p w14:paraId="554EF5F4" w14:textId="77777777" w:rsidR="001D6875" w:rsidRDefault="00F136BD">
      <w:pPr>
        <w:spacing w:after="342" w:line="259" w:lineRule="auto"/>
        <w:ind w:left="1060" w:firstLine="0"/>
      </w:pPr>
      <w:r>
        <w:rPr>
          <w:b/>
        </w:rPr>
        <w:t xml:space="preserve"> </w:t>
      </w:r>
    </w:p>
    <w:p w14:paraId="600E9C6F" w14:textId="77777777" w:rsidR="001D6875" w:rsidRDefault="00F136BD">
      <w:pPr>
        <w:pStyle w:val="Rubrik2"/>
        <w:ind w:left="1045"/>
      </w:pPr>
      <w:r>
        <w:lastRenderedPageBreak/>
        <w:t xml:space="preserve">Ränta och dröjsmålsränta på understöd som återbetalas och återkrävs </w:t>
      </w:r>
    </w:p>
    <w:p w14:paraId="05B93B1A" w14:textId="77777777" w:rsidR="001D6875" w:rsidRDefault="00F136BD">
      <w:pPr>
        <w:ind w:left="1049"/>
      </w:pPr>
      <w:r>
        <w:t xml:space="preserve">Stödmottagaren ska betala årlig ränta på det belopp som återbetalas eller återkrävs enligt 3 § 2 mom. i räntelagen (633/1982) utökad med tre procentenheter från och med betalningsdagen till och med återbetalningsdagen.  </w:t>
      </w:r>
    </w:p>
    <w:p w14:paraId="7E235B9D" w14:textId="77777777" w:rsidR="001D6875" w:rsidRDefault="00F136BD">
      <w:pPr>
        <w:spacing w:after="62" w:line="259" w:lineRule="auto"/>
        <w:ind w:left="1060" w:firstLine="0"/>
      </w:pPr>
      <w:r>
        <w:t xml:space="preserve"> </w:t>
      </w:r>
    </w:p>
    <w:p w14:paraId="230F8DEC" w14:textId="7A949A96" w:rsidR="001D6875" w:rsidRDefault="4FBED740">
      <w:pPr>
        <w:ind w:left="1049"/>
      </w:pPr>
      <w:r>
        <w:t>Om stödmottagaren inte betalat hela det återkrävda beloppet till statsrådets kansli på förfallodagen, ska på beloppet betalas en årlig förseningsränta enligt 4 § 1 mom. i räntelagen.</w:t>
      </w:r>
      <w:r>
        <w:br/>
        <w:t xml:space="preserve">  </w:t>
      </w:r>
    </w:p>
    <w:p w14:paraId="1EDA37E2" w14:textId="77777777" w:rsidR="001D6875" w:rsidRDefault="00F136BD">
      <w:pPr>
        <w:pStyle w:val="Rubrik2"/>
        <w:ind w:left="1045"/>
      </w:pPr>
      <w:r>
        <w:t xml:space="preserve">Jämkning av det belopp som återbetalas </w:t>
      </w:r>
    </w:p>
    <w:p w14:paraId="4F20B0D2" w14:textId="34B0184F" w:rsidR="001D6875" w:rsidRDefault="4FBED740">
      <w:pPr>
        <w:ind w:left="1049"/>
      </w:pPr>
      <w:r>
        <w:t xml:space="preserve">Statsrådets kansli kan, inom ramen för bestämmelserna om statsunderstöd och verkställandet av det, besluta att en del av det belopp som ska återkrävas och av räntan eller dröjsmålsräntan på det inte återkrävs, om återkravet eller återbetalningen till fullt belopp är oskäligt med hänsyn till ärendets art eller omständigheterna. </w:t>
      </w:r>
    </w:p>
    <w:p w14:paraId="66AC4DF1" w14:textId="77777777" w:rsidR="001D6875" w:rsidRDefault="00F136BD">
      <w:pPr>
        <w:spacing w:after="62" w:line="259" w:lineRule="auto"/>
        <w:ind w:left="1060" w:firstLine="0"/>
      </w:pPr>
      <w:r>
        <w:rPr>
          <w:i/>
        </w:rPr>
        <w:t xml:space="preserve"> </w:t>
      </w:r>
    </w:p>
    <w:p w14:paraId="4C5108DB" w14:textId="6638A051" w:rsidR="001D6875" w:rsidRDefault="4FBED740">
      <w:pPr>
        <w:ind w:left="1049"/>
      </w:pPr>
      <w:r>
        <w:t xml:space="preserve">Det belopp som återkrävs och räntan kan dras av från annat statsunderstöd som statsrådets kansli beviljat organisationen. </w:t>
      </w:r>
    </w:p>
    <w:p w14:paraId="131F8F3A" w14:textId="77777777" w:rsidR="001D6875" w:rsidRDefault="00F136BD">
      <w:pPr>
        <w:spacing w:after="0" w:line="259" w:lineRule="auto"/>
        <w:ind w:left="1060" w:firstLine="0"/>
      </w:pPr>
      <w:r>
        <w:t xml:space="preserve"> </w:t>
      </w:r>
    </w:p>
    <w:sectPr w:rsidR="001D6875">
      <w:footerReference w:type="even" r:id="rId11"/>
      <w:footerReference w:type="default" r:id="rId12"/>
      <w:footerReference w:type="first" r:id="rId13"/>
      <w:pgSz w:w="11905" w:h="16840"/>
      <w:pgMar w:top="903" w:right="1032" w:bottom="703" w:left="79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7501D" w14:textId="77777777" w:rsidR="00F136BD" w:rsidRDefault="00F136BD">
      <w:pPr>
        <w:spacing w:after="0" w:line="240" w:lineRule="auto"/>
      </w:pPr>
      <w:r>
        <w:separator/>
      </w:r>
    </w:p>
  </w:endnote>
  <w:endnote w:type="continuationSeparator" w:id="0">
    <w:p w14:paraId="5DAB6C7B" w14:textId="77777777" w:rsidR="00F136BD" w:rsidRDefault="00F13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CEB50" w14:textId="5BA1BE2B" w:rsidR="001D6875" w:rsidRDefault="4FBED740">
    <w:pPr>
      <w:spacing w:after="0" w:line="259" w:lineRule="auto"/>
      <w:ind w:left="340" w:firstLine="0"/>
    </w:pPr>
    <w:r>
      <w:t xml:space="preserve">Sida </w:t>
    </w:r>
    <w:r w:rsidR="00F136BD">
      <w:fldChar w:fldCharType="begin"/>
    </w:r>
    <w:r w:rsidR="00F136BD">
      <w:instrText xml:space="preserve"> PAGE   \* MERGEFORMAT </w:instrText>
    </w:r>
    <w:r w:rsidR="00F136BD">
      <w:fldChar w:fldCharType="separate"/>
    </w:r>
    <w:r>
      <w:rPr>
        <w:noProof/>
      </w:rPr>
      <w:t>2</w:t>
    </w:r>
    <w:r w:rsidR="00F136BD">
      <w:fldChar w:fldCharType="end"/>
    </w:r>
    <w:r>
      <w:t xml:space="preserve"> / </w:t>
    </w:r>
    <w:r w:rsidR="00FB1609">
      <w:fldChar w:fldCharType="begin"/>
    </w:r>
    <w:r w:rsidR="00FB1609">
      <w:instrText xml:space="preserve"> NUMPAGES   \* MERGEFORMAT </w:instrText>
    </w:r>
    <w:r w:rsidR="00FB1609">
      <w:fldChar w:fldCharType="separate"/>
    </w:r>
    <w:r w:rsidR="00FB1609">
      <w:rPr>
        <w:noProof/>
      </w:rPr>
      <w:t>1</w:t>
    </w:r>
    <w:r w:rsidR="00FB1609">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CD922" w14:textId="6A4096AC" w:rsidR="001D6875" w:rsidRDefault="4FBED740">
    <w:pPr>
      <w:spacing w:after="0" w:line="259" w:lineRule="auto"/>
      <w:ind w:left="340" w:firstLine="0"/>
    </w:pPr>
    <w:r>
      <w:t xml:space="preserve">Sida </w:t>
    </w:r>
    <w:r w:rsidR="00F136BD" w:rsidRPr="4FBED740">
      <w:fldChar w:fldCharType="begin"/>
    </w:r>
    <w:r w:rsidR="00F136BD" w:rsidRPr="4FBED740">
      <w:instrText xml:space="preserve"> PAGE   \* MERGEFORMAT </w:instrText>
    </w:r>
    <w:r w:rsidR="00F136BD" w:rsidRPr="4FBED740">
      <w:fldChar w:fldCharType="separate"/>
    </w:r>
    <w:r w:rsidR="00FB1609">
      <w:rPr>
        <w:noProof/>
      </w:rPr>
      <w:t>6</w:t>
    </w:r>
    <w:r w:rsidR="00F136BD" w:rsidRPr="4FBED740">
      <w:fldChar w:fldCharType="end"/>
    </w:r>
    <w:r>
      <w:t xml:space="preserve"> / </w:t>
    </w:r>
    <w:fldSimple w:instr=" NUMPAGES   \* MERGEFORMAT ">
      <w:r w:rsidR="00FB1609">
        <w:rPr>
          <w:noProof/>
        </w:rPr>
        <w:t>6</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9BBE3" w14:textId="77777777" w:rsidR="001D6875" w:rsidRDefault="001D687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B378F" w14:textId="77777777" w:rsidR="00F136BD" w:rsidRDefault="00F136BD">
      <w:pPr>
        <w:spacing w:after="0" w:line="240" w:lineRule="auto"/>
      </w:pPr>
      <w:r>
        <w:separator/>
      </w:r>
    </w:p>
  </w:footnote>
  <w:footnote w:type="continuationSeparator" w:id="0">
    <w:p w14:paraId="6A05A809" w14:textId="77777777" w:rsidR="00F136BD" w:rsidRDefault="00F136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77648"/>
    <w:multiLevelType w:val="hybridMultilevel"/>
    <w:tmpl w:val="F0685D60"/>
    <w:lvl w:ilvl="0" w:tplc="C8E23726">
      <w:start w:val="1"/>
      <w:numFmt w:val="bullet"/>
      <w:lvlText w:val="•"/>
      <w:lvlJc w:val="left"/>
      <w:pPr>
        <w:ind w:left="1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161D3E">
      <w:start w:val="1"/>
      <w:numFmt w:val="bullet"/>
      <w:lvlText w:val="o"/>
      <w:lvlJc w:val="left"/>
      <w:pPr>
        <w:ind w:left="1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EE6F16">
      <w:start w:val="1"/>
      <w:numFmt w:val="bullet"/>
      <w:lvlText w:val="▪"/>
      <w:lvlJc w:val="left"/>
      <w:pPr>
        <w:ind w:left="1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681C9A">
      <w:start w:val="1"/>
      <w:numFmt w:val="bullet"/>
      <w:lvlText w:val="•"/>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9C7F96">
      <w:start w:val="1"/>
      <w:numFmt w:val="bullet"/>
      <w:lvlText w:val="o"/>
      <w:lvlJc w:val="left"/>
      <w:pPr>
        <w:ind w:left="3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E2EF10">
      <w:start w:val="1"/>
      <w:numFmt w:val="bullet"/>
      <w:lvlText w:val="▪"/>
      <w:lvlJc w:val="left"/>
      <w:pPr>
        <w:ind w:left="4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9AB6F0">
      <w:start w:val="1"/>
      <w:numFmt w:val="bullet"/>
      <w:lvlText w:val="•"/>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0EA870">
      <w:start w:val="1"/>
      <w:numFmt w:val="bullet"/>
      <w:lvlText w:val="o"/>
      <w:lvlJc w:val="left"/>
      <w:pPr>
        <w:ind w:left="5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921F10">
      <w:start w:val="1"/>
      <w:numFmt w:val="bullet"/>
      <w:lvlText w:val="▪"/>
      <w:lvlJc w:val="left"/>
      <w:pPr>
        <w:ind w:left="6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8355AD1"/>
    <w:multiLevelType w:val="hybridMultilevel"/>
    <w:tmpl w:val="747892F6"/>
    <w:lvl w:ilvl="0" w:tplc="5FC69448">
      <w:start w:val="1"/>
      <w:numFmt w:val="bullet"/>
      <w:lvlText w:val="•"/>
      <w:lvlJc w:val="left"/>
      <w:pPr>
        <w:ind w:left="1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DC83F6">
      <w:start w:val="1"/>
      <w:numFmt w:val="bullet"/>
      <w:lvlText w:val="o"/>
      <w:lvlJc w:val="left"/>
      <w:pPr>
        <w:ind w:left="1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BC2628">
      <w:start w:val="1"/>
      <w:numFmt w:val="bullet"/>
      <w:lvlText w:val="▪"/>
      <w:lvlJc w:val="left"/>
      <w:pPr>
        <w:ind w:left="2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FA50B2">
      <w:start w:val="1"/>
      <w:numFmt w:val="bullet"/>
      <w:lvlText w:val="•"/>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06C5DC">
      <w:start w:val="1"/>
      <w:numFmt w:val="bullet"/>
      <w:lvlText w:val="o"/>
      <w:lvlJc w:val="left"/>
      <w:pPr>
        <w:ind w:left="4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E4E1E0">
      <w:start w:val="1"/>
      <w:numFmt w:val="bullet"/>
      <w:lvlText w:val="▪"/>
      <w:lvlJc w:val="left"/>
      <w:pPr>
        <w:ind w:left="4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FC3264">
      <w:start w:val="1"/>
      <w:numFmt w:val="bullet"/>
      <w:lvlText w:val="•"/>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DC78AC">
      <w:start w:val="1"/>
      <w:numFmt w:val="bullet"/>
      <w:lvlText w:val="o"/>
      <w:lvlJc w:val="left"/>
      <w:pPr>
        <w:ind w:left="6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58649A">
      <w:start w:val="1"/>
      <w:numFmt w:val="bullet"/>
      <w:lvlText w:val="▪"/>
      <w:lvlJc w:val="left"/>
      <w:pPr>
        <w:ind w:left="6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46B235F"/>
    <w:multiLevelType w:val="hybridMultilevel"/>
    <w:tmpl w:val="6A5E2E7A"/>
    <w:lvl w:ilvl="0" w:tplc="4A18D0BA">
      <w:start w:val="1"/>
      <w:numFmt w:val="bullet"/>
      <w:lvlText w:val="•"/>
      <w:lvlJc w:val="left"/>
      <w:pPr>
        <w:ind w:left="1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86B606">
      <w:start w:val="1"/>
      <w:numFmt w:val="bullet"/>
      <w:lvlText w:val="o"/>
      <w:lvlJc w:val="left"/>
      <w:pPr>
        <w:ind w:left="2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8AFC90">
      <w:start w:val="1"/>
      <w:numFmt w:val="bullet"/>
      <w:lvlText w:val="▪"/>
      <w:lvlJc w:val="left"/>
      <w:pPr>
        <w:ind w:left="2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042C06">
      <w:start w:val="1"/>
      <w:numFmt w:val="bullet"/>
      <w:lvlText w:val="•"/>
      <w:lvlJc w:val="left"/>
      <w:pPr>
        <w:ind w:left="3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260F70">
      <w:start w:val="1"/>
      <w:numFmt w:val="bullet"/>
      <w:lvlText w:val="o"/>
      <w:lvlJc w:val="left"/>
      <w:pPr>
        <w:ind w:left="42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8A7332">
      <w:start w:val="1"/>
      <w:numFmt w:val="bullet"/>
      <w:lvlText w:val="▪"/>
      <w:lvlJc w:val="left"/>
      <w:pPr>
        <w:ind w:left="49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7A1ECE">
      <w:start w:val="1"/>
      <w:numFmt w:val="bullet"/>
      <w:lvlText w:val="•"/>
      <w:lvlJc w:val="left"/>
      <w:pPr>
        <w:ind w:left="56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B2E0BA">
      <w:start w:val="1"/>
      <w:numFmt w:val="bullet"/>
      <w:lvlText w:val="o"/>
      <w:lvlJc w:val="left"/>
      <w:pPr>
        <w:ind w:left="63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58C7E0">
      <w:start w:val="1"/>
      <w:numFmt w:val="bullet"/>
      <w:lvlText w:val="▪"/>
      <w:lvlJc w:val="left"/>
      <w:pPr>
        <w:ind w:left="71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2EC1FFE"/>
    <w:multiLevelType w:val="hybridMultilevel"/>
    <w:tmpl w:val="39A26D72"/>
    <w:lvl w:ilvl="0" w:tplc="09348F7E">
      <w:start w:val="1"/>
      <w:numFmt w:val="bullet"/>
      <w:lvlText w:val="•"/>
      <w:lvlJc w:val="left"/>
      <w:pPr>
        <w:ind w:left="1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FCF8F8">
      <w:start w:val="1"/>
      <w:numFmt w:val="bullet"/>
      <w:lvlText w:val="o"/>
      <w:lvlJc w:val="left"/>
      <w:pPr>
        <w:ind w:left="1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BE7646">
      <w:start w:val="1"/>
      <w:numFmt w:val="bullet"/>
      <w:lvlText w:val="▪"/>
      <w:lvlJc w:val="left"/>
      <w:pPr>
        <w:ind w:left="2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2E9702">
      <w:start w:val="1"/>
      <w:numFmt w:val="bullet"/>
      <w:lvlText w:val="•"/>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E4AB0E">
      <w:start w:val="1"/>
      <w:numFmt w:val="bullet"/>
      <w:lvlText w:val="o"/>
      <w:lvlJc w:val="left"/>
      <w:pPr>
        <w:ind w:left="4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FA5D7C">
      <w:start w:val="1"/>
      <w:numFmt w:val="bullet"/>
      <w:lvlText w:val="▪"/>
      <w:lvlJc w:val="left"/>
      <w:pPr>
        <w:ind w:left="4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BC8108">
      <w:start w:val="1"/>
      <w:numFmt w:val="bullet"/>
      <w:lvlText w:val="•"/>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16C4E0">
      <w:start w:val="1"/>
      <w:numFmt w:val="bullet"/>
      <w:lvlText w:val="o"/>
      <w:lvlJc w:val="left"/>
      <w:pPr>
        <w:ind w:left="6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78784A">
      <w:start w:val="1"/>
      <w:numFmt w:val="bullet"/>
      <w:lvlText w:val="▪"/>
      <w:lvlJc w:val="left"/>
      <w:pPr>
        <w:ind w:left="6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875"/>
    <w:rsid w:val="001D6875"/>
    <w:rsid w:val="003A74FC"/>
    <w:rsid w:val="0073295E"/>
    <w:rsid w:val="00B61D40"/>
    <w:rsid w:val="00F136BD"/>
    <w:rsid w:val="00FA14D9"/>
    <w:rsid w:val="00FB1609"/>
    <w:rsid w:val="4B3332C4"/>
    <w:rsid w:val="4FBED74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1B7C5"/>
  <w15:docId w15:val="{3F5853C1-3EB5-4E08-940D-AB12BF1D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7" w:line="251" w:lineRule="auto"/>
      <w:ind w:left="344" w:hanging="4"/>
    </w:pPr>
    <w:rPr>
      <w:rFonts w:ascii="Arial" w:eastAsia="Arial" w:hAnsi="Arial" w:cs="Arial"/>
      <w:color w:val="000000"/>
      <w:sz w:val="24"/>
    </w:rPr>
  </w:style>
  <w:style w:type="paragraph" w:styleId="Rubrik1">
    <w:name w:val="heading 1"/>
    <w:next w:val="Normal"/>
    <w:link w:val="Rubrik1Char"/>
    <w:uiPriority w:val="9"/>
    <w:unhideWhenUsed/>
    <w:qFormat/>
    <w:pPr>
      <w:keepNext/>
      <w:keepLines/>
      <w:spacing w:after="300"/>
      <w:ind w:left="350" w:hanging="10"/>
      <w:outlineLvl w:val="0"/>
    </w:pPr>
    <w:rPr>
      <w:rFonts w:ascii="Arial" w:eastAsia="Arial" w:hAnsi="Arial" w:cs="Arial"/>
      <w:b/>
      <w:color w:val="000000"/>
      <w:sz w:val="28"/>
    </w:rPr>
  </w:style>
  <w:style w:type="paragraph" w:styleId="Rubrik2">
    <w:name w:val="heading 2"/>
    <w:next w:val="Normal"/>
    <w:link w:val="Rubrik2Char"/>
    <w:uiPriority w:val="9"/>
    <w:unhideWhenUsed/>
    <w:qFormat/>
    <w:pPr>
      <w:keepNext/>
      <w:keepLines/>
      <w:spacing w:after="231" w:line="251" w:lineRule="auto"/>
      <w:ind w:left="350" w:hanging="10"/>
      <w:outlineLvl w:val="1"/>
    </w:pPr>
    <w:rPr>
      <w:rFonts w:ascii="Arial" w:eastAsia="Arial" w:hAnsi="Arial" w:cs="Arial"/>
      <w:b/>
      <w:color w:val="00000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Arial" w:eastAsia="Arial" w:hAnsi="Arial" w:cs="Arial"/>
      <w:b/>
      <w:color w:val="000000"/>
      <w:sz w:val="28"/>
    </w:rPr>
  </w:style>
  <w:style w:type="character" w:customStyle="1" w:styleId="Rubrik2Char">
    <w:name w:val="Rubrik 2 Char"/>
    <w:link w:val="Rubrik2"/>
    <w:rPr>
      <w:rFonts w:ascii="Arial" w:eastAsia="Arial" w:hAnsi="Arial" w:cs="Arial"/>
      <w:b/>
      <w:color w:val="000000"/>
      <w:sz w:val="24"/>
    </w:rPr>
  </w:style>
  <w:style w:type="paragraph" w:styleId="Ballongtext">
    <w:name w:val="Balloon Text"/>
    <w:basedOn w:val="Normal"/>
    <w:link w:val="BallongtextChar"/>
    <w:uiPriority w:val="99"/>
    <w:semiHidden/>
    <w:unhideWhenUsed/>
    <w:rsid w:val="003A74F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A74FC"/>
    <w:rPr>
      <w:rFonts w:ascii="Segoe UI" w:eastAsia="Arial" w:hAnsi="Segoe UI" w:cs="Segoe UI"/>
      <w:color w:val="000000"/>
      <w:sz w:val="18"/>
      <w:szCs w:val="18"/>
    </w:rPr>
  </w:style>
  <w:style w:type="paragraph" w:styleId="Normalwebb">
    <w:name w:val="Normal (Web)"/>
    <w:basedOn w:val="Normal"/>
    <w:uiPriority w:val="99"/>
    <w:semiHidden/>
    <w:unhideWhenUsed/>
    <w:rsid w:val="00FA14D9"/>
    <w:pPr>
      <w:spacing w:before="100" w:beforeAutospacing="1" w:after="100" w:afterAutospacing="1" w:line="240" w:lineRule="auto"/>
      <w:ind w:left="0" w:firstLine="0"/>
    </w:pPr>
    <w:rPr>
      <w:rFonts w:ascii="Times New Roman" w:eastAsiaTheme="minorHAnsi"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919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4CFA7B528CE30D4D898E322E1196CDDF" ma:contentTypeVersion="4" ma:contentTypeDescription="Kampus asiakirja" ma:contentTypeScope="" ma:versionID="c146cbb3618af74be9a75dd75ad04555">
  <xsd:schema xmlns:xsd="http://www.w3.org/2001/XMLSchema" xmlns:xs="http://www.w3.org/2001/XMLSchema" xmlns:p="http://schemas.microsoft.com/office/2006/metadata/properties" xmlns:ns2="c138b538-c2fd-4cca-8c26-6e4e32e5a042" xmlns:ns3="b21bf7ba-24fa-4421-ab78-6e426ea76e61" targetNamespace="http://schemas.microsoft.com/office/2006/metadata/properties" ma:root="true" ma:fieldsID="a807840a2e769a8f2947ef96fecd6a21" ns2:_="" ns3:_="">
    <xsd:import namespace="c138b538-c2fd-4cca-8c26-6e4e32e5a042"/>
    <xsd:import namespace="b21bf7ba-24fa-4421-ab78-6e426ea76e61"/>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57cf5d1-dedf-4090-b92d-d9aa4686ad21}" ma:internalName="TaxCatchAll" ma:showField="CatchAllData" ma:web="b21bf7ba-24fa-4421-ab78-6e426ea76e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57cf5d1-dedf-4090-b92d-d9aa4686ad21}" ma:internalName="TaxCatchAllLabel" ma:readOnly="true" ma:showField="CatchAllDataLabel" ma:web="b21bf7ba-24fa-4421-ab78-6e426ea76e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1bf7ba-24fa-4421-ab78-6e426ea76e61"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Props1.xml><?xml version="1.0" encoding="utf-8"?>
<ds:datastoreItem xmlns:ds="http://schemas.openxmlformats.org/officeDocument/2006/customXml" ds:itemID="{133A7C6C-F434-400C-98E5-56CAF8A25A63}">
  <ds:schemaRefs>
    <ds:schemaRef ds:uri="http://schemas.microsoft.com/sharepoint/v3/contenttype/forms"/>
  </ds:schemaRefs>
</ds:datastoreItem>
</file>

<file path=customXml/itemProps2.xml><?xml version="1.0" encoding="utf-8"?>
<ds:datastoreItem xmlns:ds="http://schemas.openxmlformats.org/officeDocument/2006/customXml" ds:itemID="{E2181F7B-D500-40D0-8A9D-8C1B3F2C940F}">
  <ds:schemaRefs>
    <ds:schemaRef ds:uri="Microsoft.SharePoint.Taxonomy.ContentTypeSync"/>
  </ds:schemaRefs>
</ds:datastoreItem>
</file>

<file path=customXml/itemProps3.xml><?xml version="1.0" encoding="utf-8"?>
<ds:datastoreItem xmlns:ds="http://schemas.openxmlformats.org/officeDocument/2006/customXml" ds:itemID="{47B89C1A-57A0-4851-B7D3-B542A6234D70}"/>
</file>

<file path=customXml/itemProps4.xml><?xml version="1.0" encoding="utf-8"?>
<ds:datastoreItem xmlns:ds="http://schemas.openxmlformats.org/officeDocument/2006/customXml" ds:itemID="{AAEAD778-D869-4799-9717-98609BB2CA6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138b538-c2fd-4cca-8c26-6e4e32e5a04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2029</Words>
  <Characters>10756</Characters>
  <Application>Microsoft Office Word</Application>
  <DocSecurity>0</DocSecurity>
  <Lines>89</Lines>
  <Paragraphs>25</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Yleisehdot: Valtionavustukset kansalaisjärjestöjen Eurooppa-tiedottamiseen 2024</vt:lpstr>
      <vt:lpstr>Yleisehdot: Valtionavustukset kansalaisjärjestöjen Eurooppa-tiedottamiseen 2024</vt:lpstr>
    </vt:vector>
  </TitlesOfParts>
  <Company>Suomen valtion</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Yleisehdot: Valtionavustukset kansalaisjärjestöjen Eurooppa-tiedottamiseen 2024</dc:title>
  <dc:subject>Yleisehdot</dc:subject>
  <dc:creator>Ulkoministeriö</dc:creator>
  <cp:keywords>yleisehdot, Eurooppa-tiedottaminen</cp:keywords>
  <cp:lastModifiedBy>Gottberg Sofia (VNK)</cp:lastModifiedBy>
  <cp:revision>2</cp:revision>
  <dcterms:created xsi:type="dcterms:W3CDTF">2023-11-10T10:46:00Z</dcterms:created>
  <dcterms:modified xsi:type="dcterms:W3CDTF">2023-11-10T10:46:00Z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0x010100B5FAB64B6C204DD994D3FAC0C34E2BFF004CFA7B528CE30D4D898E322E1196CDDF</vt:lpwstr>
  </property>
  <property fmtid="{D5CDD505-2E9C-101B-9397-08002B2CF9AE}" pid="3" name="KampusOrganization">
    <vt:lpwstr/>
  </property>
  <property fmtid="{D5CDD505-2E9C-101B-9397-08002B2CF9AE}" pid="4" name="KampusKeywords">
    <vt:lpwstr/>
  </property>
</Properties>
</file>